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0D" w:rsidRPr="009E0F0D" w:rsidRDefault="009E0F0D">
      <w:pPr>
        <w:pStyle w:val="ConsPlusTitlePage"/>
        <w:rPr>
          <w:rFonts w:ascii="Times New Roman" w:hAnsi="Times New Roman" w:cs="Times New Roman"/>
          <w:sz w:val="24"/>
          <w:szCs w:val="24"/>
        </w:rPr>
      </w:pPr>
      <w:r w:rsidRPr="009E0F0D">
        <w:rPr>
          <w:rFonts w:ascii="Times New Roman" w:hAnsi="Times New Roman" w:cs="Times New Roman"/>
          <w:sz w:val="24"/>
          <w:szCs w:val="24"/>
        </w:rPr>
        <w:t xml:space="preserve">Документ предоставлен </w:t>
      </w:r>
      <w:hyperlink r:id="rId6">
        <w:r w:rsidRPr="009E0F0D">
          <w:rPr>
            <w:rFonts w:ascii="Times New Roman" w:hAnsi="Times New Roman" w:cs="Times New Roman"/>
            <w:color w:val="0000FF"/>
            <w:sz w:val="24"/>
            <w:szCs w:val="24"/>
          </w:rPr>
          <w:t>КонсультантПлюс</w:t>
        </w:r>
      </w:hyperlink>
      <w:r w:rsidRPr="009E0F0D">
        <w:rPr>
          <w:rFonts w:ascii="Times New Roman" w:hAnsi="Times New Roman" w:cs="Times New Roman"/>
          <w:sz w:val="24"/>
          <w:szCs w:val="24"/>
        </w:rPr>
        <w:br/>
      </w:r>
    </w:p>
    <w:p w:rsidR="009E0F0D" w:rsidRPr="009E0F0D" w:rsidRDefault="009E0F0D">
      <w:pPr>
        <w:pStyle w:val="ConsPlusNormal"/>
        <w:jc w:val="both"/>
        <w:outlineLvl w:val="0"/>
        <w:rPr>
          <w:rFonts w:ascii="Times New Roman" w:hAnsi="Times New Roman" w:cs="Times New Roman"/>
          <w:sz w:val="24"/>
          <w:szCs w:val="24"/>
        </w:rPr>
      </w:pPr>
    </w:p>
    <w:p w:rsidR="009E0F0D" w:rsidRPr="009E0F0D" w:rsidRDefault="009E0F0D">
      <w:pPr>
        <w:pStyle w:val="ConsPlusTitle"/>
        <w:jc w:val="center"/>
        <w:outlineLvl w:val="0"/>
        <w:rPr>
          <w:rFonts w:ascii="Times New Roman" w:hAnsi="Times New Roman" w:cs="Times New Roman"/>
          <w:sz w:val="24"/>
          <w:szCs w:val="24"/>
        </w:rPr>
      </w:pPr>
      <w:r w:rsidRPr="009E0F0D">
        <w:rPr>
          <w:rFonts w:ascii="Times New Roman" w:hAnsi="Times New Roman" w:cs="Times New Roman"/>
          <w:sz w:val="24"/>
          <w:szCs w:val="24"/>
        </w:rPr>
        <w:t>ГУБЕРНАТОР КИРОВСКОЙ ОБЛАСТИ</w:t>
      </w:r>
    </w:p>
    <w:p w:rsidR="009E0F0D" w:rsidRPr="009E0F0D" w:rsidRDefault="009E0F0D">
      <w:pPr>
        <w:pStyle w:val="ConsPlusTitle"/>
        <w:jc w:val="both"/>
        <w:rPr>
          <w:rFonts w:ascii="Times New Roman" w:hAnsi="Times New Roman" w:cs="Times New Roman"/>
          <w:sz w:val="24"/>
          <w:szCs w:val="24"/>
        </w:rPr>
      </w:pP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РАСПОРЯЖЕНИЕ</w:t>
      </w: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от 28 октября 2020 г. N 107</w:t>
      </w:r>
    </w:p>
    <w:p w:rsidR="009E0F0D" w:rsidRPr="009E0F0D" w:rsidRDefault="009E0F0D">
      <w:pPr>
        <w:pStyle w:val="ConsPlusTitle"/>
        <w:jc w:val="both"/>
        <w:rPr>
          <w:rFonts w:ascii="Times New Roman" w:hAnsi="Times New Roman" w:cs="Times New Roman"/>
          <w:sz w:val="24"/>
          <w:szCs w:val="24"/>
        </w:rPr>
      </w:pP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ОБ ОЦЕНКЕ ЭФФЕКТИВНОСТИ ДЕЯТЕЛЬНОСТИ ПО ПРОФИЛАКТИКЕ</w:t>
      </w: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КОРРУПЦИОННЫХ И ИНЫХ ПРАВОНАРУШЕНИЙ ОРГАНОВ ИСПОЛНИТЕЛЬНОЙ</w:t>
      </w: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ВЛАСТИ КИРОВСКОЙ ОБЛАСТИ И ОРГАНОВ МЕСТНОГО САМОУПРАВЛЕНИЯ</w:t>
      </w: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МУНИЦИПАЛЬНЫХ ОБРАЗОВАНИЙ КИРОВСКОЙ ОБЛАСТИ</w:t>
      </w:r>
    </w:p>
    <w:p w:rsidR="009E0F0D" w:rsidRPr="009E0F0D" w:rsidRDefault="009E0F0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0F0D" w:rsidRPr="009E0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color w:val="392C69"/>
                <w:sz w:val="24"/>
                <w:szCs w:val="24"/>
              </w:rPr>
              <w:t>Список изменяющих докум</w:t>
            </w:r>
            <w:bookmarkStart w:id="0" w:name="_GoBack"/>
            <w:bookmarkEnd w:id="0"/>
            <w:r w:rsidRPr="009E0F0D">
              <w:rPr>
                <w:rFonts w:ascii="Times New Roman" w:hAnsi="Times New Roman" w:cs="Times New Roman"/>
                <w:color w:val="392C69"/>
                <w:sz w:val="24"/>
                <w:szCs w:val="24"/>
              </w:rPr>
              <w:t>ентов</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color w:val="392C69"/>
                <w:sz w:val="24"/>
                <w:szCs w:val="24"/>
              </w:rPr>
              <w:t>(в ред. распоряжений Губернатора Кировской области</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color w:val="392C69"/>
                <w:sz w:val="24"/>
                <w:szCs w:val="24"/>
              </w:rPr>
              <w:t xml:space="preserve">от 03.08.2021 </w:t>
            </w:r>
            <w:hyperlink r:id="rId7">
              <w:r w:rsidRPr="009E0F0D">
                <w:rPr>
                  <w:rFonts w:ascii="Times New Roman" w:hAnsi="Times New Roman" w:cs="Times New Roman"/>
                  <w:color w:val="0000FF"/>
                  <w:sz w:val="24"/>
                  <w:szCs w:val="24"/>
                </w:rPr>
                <w:t>N 75</w:t>
              </w:r>
            </w:hyperlink>
            <w:r w:rsidRPr="009E0F0D">
              <w:rPr>
                <w:rFonts w:ascii="Times New Roman" w:hAnsi="Times New Roman" w:cs="Times New Roman"/>
                <w:color w:val="392C69"/>
                <w:sz w:val="24"/>
                <w:szCs w:val="24"/>
              </w:rPr>
              <w:t xml:space="preserve">, от 29.12.2023 </w:t>
            </w:r>
            <w:hyperlink r:id="rId8">
              <w:r w:rsidRPr="009E0F0D">
                <w:rPr>
                  <w:rFonts w:ascii="Times New Roman" w:hAnsi="Times New Roman" w:cs="Times New Roman"/>
                  <w:color w:val="0000FF"/>
                  <w:sz w:val="24"/>
                  <w:szCs w:val="24"/>
                </w:rPr>
                <w:t>N 197</w:t>
              </w:r>
            </w:hyperlink>
            <w:r w:rsidRPr="009E0F0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r>
    </w:tbl>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ind w:firstLine="540"/>
        <w:jc w:val="both"/>
        <w:rPr>
          <w:rFonts w:ascii="Times New Roman" w:hAnsi="Times New Roman" w:cs="Times New Roman"/>
          <w:sz w:val="24"/>
          <w:szCs w:val="24"/>
        </w:rPr>
      </w:pPr>
      <w:r w:rsidRPr="009E0F0D">
        <w:rPr>
          <w:rFonts w:ascii="Times New Roman" w:hAnsi="Times New Roman" w:cs="Times New Roman"/>
          <w:sz w:val="24"/>
          <w:szCs w:val="24"/>
        </w:rPr>
        <w:t>В целях проведения анализа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(преамбула в ред. </w:t>
      </w:r>
      <w:hyperlink r:id="rId9">
        <w:r w:rsidRPr="009E0F0D">
          <w:rPr>
            <w:rFonts w:ascii="Times New Roman" w:hAnsi="Times New Roman" w:cs="Times New Roman"/>
            <w:color w:val="0000FF"/>
            <w:sz w:val="24"/>
            <w:szCs w:val="24"/>
          </w:rPr>
          <w:t>распоряжения</w:t>
        </w:r>
      </w:hyperlink>
      <w:r w:rsidRPr="009E0F0D">
        <w:rPr>
          <w:rFonts w:ascii="Times New Roman" w:hAnsi="Times New Roman" w:cs="Times New Roman"/>
          <w:sz w:val="24"/>
          <w:szCs w:val="24"/>
        </w:rPr>
        <w:t xml:space="preserve"> Губернатора Кировской области от 29.12.2023 N 197)</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 xml:space="preserve">1. Утвердить </w:t>
      </w:r>
      <w:hyperlink w:anchor="P37">
        <w:r w:rsidRPr="009E0F0D">
          <w:rPr>
            <w:rFonts w:ascii="Times New Roman" w:hAnsi="Times New Roman" w:cs="Times New Roman"/>
            <w:color w:val="0000FF"/>
            <w:sz w:val="24"/>
            <w:szCs w:val="24"/>
          </w:rPr>
          <w:t>Порядок</w:t>
        </w:r>
      </w:hyperlink>
      <w:r w:rsidRPr="009E0F0D">
        <w:rPr>
          <w:rFonts w:ascii="Times New Roman" w:hAnsi="Times New Roman" w:cs="Times New Roman"/>
          <w:sz w:val="24"/>
          <w:szCs w:val="24"/>
        </w:rP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согласно приложению N 1.</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 xml:space="preserve">2. Утвердить форму </w:t>
      </w:r>
      <w:hyperlink w:anchor="P80">
        <w:r w:rsidRPr="009E0F0D">
          <w:rPr>
            <w:rFonts w:ascii="Times New Roman" w:hAnsi="Times New Roman" w:cs="Times New Roman"/>
            <w:color w:val="0000FF"/>
            <w:sz w:val="24"/>
            <w:szCs w:val="24"/>
          </w:rPr>
          <w:t>критериев</w:t>
        </w:r>
      </w:hyperlink>
      <w:r w:rsidRPr="009E0F0D">
        <w:rPr>
          <w:rFonts w:ascii="Times New Roman" w:hAnsi="Times New Roman" w:cs="Times New Roman"/>
          <w:sz w:val="24"/>
          <w:szCs w:val="24"/>
        </w:rP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согласно приложению N 2.</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3. Руководителям органов исполнительной власти Кировской области ежегодно, в срок до 1 февраля года, следующего за отчетным, обеспечить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 результатах оценки эффективности деятельности по профилактике коррупционных и иных правонарушений.</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4. Рекомендовать руководителям органов местного самоуправления муниципальных образований Кировской области ежегодно, в срок до 1 февраля года, следующего за отчетным, обеспечить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 результатах оценки эффективности деятельности по профилактике коррупционных и иных правонарушений.</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5. Настоящее распоряжение вступает в силу со дня его подписания.</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Губернатор</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Кировской области</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И.В.ВАСИЛЬЕВ</w:t>
      </w:r>
    </w:p>
    <w:p w:rsidR="009E0F0D" w:rsidRPr="009E0F0D" w:rsidRDefault="009E0F0D">
      <w:pPr>
        <w:pStyle w:val="ConsPlusNormal"/>
        <w:jc w:val="right"/>
        <w:outlineLvl w:val="0"/>
        <w:rPr>
          <w:rFonts w:ascii="Times New Roman" w:hAnsi="Times New Roman" w:cs="Times New Roman"/>
          <w:sz w:val="24"/>
          <w:szCs w:val="24"/>
        </w:rPr>
      </w:pPr>
      <w:r w:rsidRPr="009E0F0D">
        <w:rPr>
          <w:rFonts w:ascii="Times New Roman" w:hAnsi="Times New Roman" w:cs="Times New Roman"/>
          <w:sz w:val="24"/>
          <w:szCs w:val="24"/>
        </w:rPr>
        <w:lastRenderedPageBreak/>
        <w:t>Приложение N 1</w:t>
      </w:r>
    </w:p>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Утвержден</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распоряжением</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Губернатора Кировской области</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от 28 октября 2020 г. N 107</w:t>
      </w:r>
    </w:p>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Title"/>
        <w:jc w:val="center"/>
        <w:rPr>
          <w:rFonts w:ascii="Times New Roman" w:hAnsi="Times New Roman" w:cs="Times New Roman"/>
          <w:sz w:val="24"/>
          <w:szCs w:val="24"/>
        </w:rPr>
      </w:pPr>
      <w:bookmarkStart w:id="1" w:name="P37"/>
      <w:bookmarkEnd w:id="1"/>
      <w:r w:rsidRPr="009E0F0D">
        <w:rPr>
          <w:rFonts w:ascii="Times New Roman" w:hAnsi="Times New Roman" w:cs="Times New Roman"/>
          <w:sz w:val="24"/>
          <w:szCs w:val="24"/>
        </w:rPr>
        <w:t>ПОРЯДОК</w:t>
      </w: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ОЦЕНКИ ЭФФЕКТИВНОСТИ ДЕЯТЕЛЬНОСТИ ПО ПРОФИЛАКТИКЕ</w:t>
      </w: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КОРРУПЦИОННЫХ И ИНЫХ ПРАВОНАРУШЕНИЙ ОРГАНОВ ИСПОЛНИТЕЛЬНОЙ</w:t>
      </w: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ВЛАСТИ КИРОВСКОЙ ОБЛАСТИ И ОРГАНОВ МЕСТНОГО САМОУПРАВЛЕНИЯ</w:t>
      </w:r>
    </w:p>
    <w:p w:rsidR="009E0F0D" w:rsidRPr="009E0F0D" w:rsidRDefault="009E0F0D">
      <w:pPr>
        <w:pStyle w:val="ConsPlusTitle"/>
        <w:jc w:val="center"/>
        <w:rPr>
          <w:rFonts w:ascii="Times New Roman" w:hAnsi="Times New Roman" w:cs="Times New Roman"/>
          <w:sz w:val="24"/>
          <w:szCs w:val="24"/>
        </w:rPr>
      </w:pPr>
      <w:r w:rsidRPr="009E0F0D">
        <w:rPr>
          <w:rFonts w:ascii="Times New Roman" w:hAnsi="Times New Roman" w:cs="Times New Roman"/>
          <w:sz w:val="24"/>
          <w:szCs w:val="24"/>
        </w:rPr>
        <w:t>МУНИЦИПАЛЬНЫХ ОБРАЗОВАНИЙ КИРОВСКОЙ ОБЛАСТИ</w:t>
      </w:r>
    </w:p>
    <w:p w:rsidR="009E0F0D" w:rsidRPr="009E0F0D" w:rsidRDefault="009E0F0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0F0D" w:rsidRPr="009E0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color w:val="392C69"/>
                <w:sz w:val="24"/>
                <w:szCs w:val="24"/>
              </w:rPr>
              <w:t>Список изменяющих документов</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color w:val="392C69"/>
                <w:sz w:val="24"/>
                <w:szCs w:val="24"/>
              </w:rPr>
              <w:t xml:space="preserve">(в ред. </w:t>
            </w:r>
            <w:hyperlink r:id="rId10">
              <w:r w:rsidRPr="009E0F0D">
                <w:rPr>
                  <w:rFonts w:ascii="Times New Roman" w:hAnsi="Times New Roman" w:cs="Times New Roman"/>
                  <w:color w:val="0000FF"/>
                  <w:sz w:val="24"/>
                  <w:szCs w:val="24"/>
                </w:rPr>
                <w:t>распоряжения</w:t>
              </w:r>
            </w:hyperlink>
            <w:r w:rsidRPr="009E0F0D">
              <w:rPr>
                <w:rFonts w:ascii="Times New Roman" w:hAnsi="Times New Roman" w:cs="Times New Roman"/>
                <w:color w:val="392C69"/>
                <w:sz w:val="24"/>
                <w:szCs w:val="24"/>
              </w:rPr>
              <w:t xml:space="preserve"> Губернатора Кировской области от 29.12.2023 N 197)</w:t>
            </w:r>
          </w:p>
        </w:tc>
        <w:tc>
          <w:tcPr>
            <w:tcW w:w="113" w:type="dxa"/>
            <w:tcBorders>
              <w:top w:val="nil"/>
              <w:left w:val="nil"/>
              <w:bottom w:val="nil"/>
              <w:right w:val="nil"/>
            </w:tcBorders>
            <w:shd w:val="clear" w:color="auto" w:fill="F4F3F8"/>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r>
    </w:tbl>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ind w:firstLine="540"/>
        <w:jc w:val="both"/>
        <w:rPr>
          <w:rFonts w:ascii="Times New Roman" w:hAnsi="Times New Roman" w:cs="Times New Roman"/>
          <w:sz w:val="24"/>
          <w:szCs w:val="24"/>
        </w:rPr>
      </w:pPr>
      <w:r w:rsidRPr="009E0F0D">
        <w:rPr>
          <w:rFonts w:ascii="Times New Roman" w:hAnsi="Times New Roman" w:cs="Times New Roman"/>
          <w:sz w:val="24"/>
          <w:szCs w:val="24"/>
        </w:rPr>
        <w:t>1. Порядок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Порядок) определяет процедуру проведения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оценка эффективности).</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2. Оценка эффективности проводится ежегодно, не позднее 1 февраля года, следующего за отчетным, за отчетный период с 1 января по 31 декабря на основе показателей, характеризующих эффективность осуществления органами исполнительной власти Кировской области и органами местного самоуправления муниципальных образований Кировской области возложенных на них функций в сфере противодействия коррупции.</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 xml:space="preserve">3. На первом этапе органы исполнительной власти Кировской области и органы местного самоуправления муниципальных образований Кировской области заполняют форму </w:t>
      </w:r>
      <w:hyperlink w:anchor="P80">
        <w:r w:rsidRPr="009E0F0D">
          <w:rPr>
            <w:rFonts w:ascii="Times New Roman" w:hAnsi="Times New Roman" w:cs="Times New Roman"/>
            <w:color w:val="0000FF"/>
            <w:sz w:val="24"/>
            <w:szCs w:val="24"/>
          </w:rPr>
          <w:t>критериев</w:t>
        </w:r>
      </w:hyperlink>
      <w:r w:rsidRPr="009E0F0D">
        <w:rPr>
          <w:rFonts w:ascii="Times New Roman" w:hAnsi="Times New Roman" w:cs="Times New Roman"/>
          <w:sz w:val="24"/>
          <w:szCs w:val="24"/>
        </w:rPr>
        <w:t xml:space="preserve">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 (далее - форма критериев оценки эффективности), утвержденную настоящим распоряжением.</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4. Оценка эффективности осуществляется в баллах путем сложения (вычитания) показателей по каждому из четырех разделов критериев оценки эффективности.</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5. Максимальный суммарный оценочный балл составляет:</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по разделу 1 - 69 баллов;</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по разделу 2 - 17 баллов;</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по разделу 3 - 10 баллов;</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по разделу 4 - 4 балла.</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lastRenderedPageBreak/>
        <w:t>Максимальный итоговый балл, который могут получить орган исполнительной власти Кировской области и орган местного самоуправления муниципального образования Кировской области по результатам проведения оценки эффективности, составляет 100 баллов.</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(п. 5 в ред. </w:t>
      </w:r>
      <w:hyperlink r:id="rId11">
        <w:r w:rsidRPr="009E0F0D">
          <w:rPr>
            <w:rFonts w:ascii="Times New Roman" w:hAnsi="Times New Roman" w:cs="Times New Roman"/>
            <w:color w:val="0000FF"/>
            <w:sz w:val="24"/>
            <w:szCs w:val="24"/>
          </w:rPr>
          <w:t>распоряжения</w:t>
        </w:r>
      </w:hyperlink>
      <w:r w:rsidRPr="009E0F0D">
        <w:rPr>
          <w:rFonts w:ascii="Times New Roman" w:hAnsi="Times New Roman" w:cs="Times New Roman"/>
          <w:sz w:val="24"/>
          <w:szCs w:val="24"/>
        </w:rPr>
        <w:t xml:space="preserve"> Губернатора Кировской области от 29.12.2023 N 197)</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6. В целях повышения объективности оценка эффективности осуществляется в баллах на основе внутренних показателей, отражающих текущую деятельность органов исполнительной власти Кировской области и органов местного самоуправления муниципальных образований Кировской области, и показателей результативности их деятельности.</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7. Эффективность деятельности органов исполнительной власти Кировской области и органов местного самоуправления муниципальных образований Кировской области считается:</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при итоговом результате, равном 90 баллам и более, - высокой;</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при итоговом результате от 70 до 89 баллов включительно - средней;</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при итоговом результате от 50 до 69 баллов включительно - низкой;</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при итоговом результате менее 50 баллов - неудовлетворительной.</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(п. 7 в ред. </w:t>
      </w:r>
      <w:hyperlink r:id="rId12">
        <w:r w:rsidRPr="009E0F0D">
          <w:rPr>
            <w:rFonts w:ascii="Times New Roman" w:hAnsi="Times New Roman" w:cs="Times New Roman"/>
            <w:color w:val="0000FF"/>
            <w:sz w:val="24"/>
            <w:szCs w:val="24"/>
          </w:rPr>
          <w:t>распоряжения</w:t>
        </w:r>
      </w:hyperlink>
      <w:r w:rsidRPr="009E0F0D">
        <w:rPr>
          <w:rFonts w:ascii="Times New Roman" w:hAnsi="Times New Roman" w:cs="Times New Roman"/>
          <w:sz w:val="24"/>
          <w:szCs w:val="24"/>
        </w:rPr>
        <w:t xml:space="preserve"> Губернатора Кировской области от 29.12.2023 N 197)</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8. На втором этапе управлением профилактики коррупционных и иных правонарушений администрации Губернатора и Правительства Кировской области (далее - управление) анализируется представленная информация, определяется эффективность деятельности органов исполнительной власти Кировской области и органов местного самоуправления муниципальных образований Кировской области, принимается решение об осуществлении выборочной проверки соблюдения методологии расчета представленных критериев оценки эффективности минимум двух, но не более десяти органов исполнительной власти Кировской области и органов местного самоуправления муниципальных образований Кировской области. Проверка осуществляется путем направления соответствующих запросов в орган исполнительной власти Кировской области или орган местного самоуправления муниципального образования Кировской области, изучения информации, содержащейся на официальном сайте органа исполнительной власти Кировской области или на официальном сайте органа местного самоуправления муниципального образования Кировской области, а также дополнительных материалов, представленных органом исполнительной власти Кировской области и органом местного самоуправления муниципального образования Кировской области.</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9. В случае выявления ошибок при проведении расчетов орган исполнительной власти Кировской области и орган местного самоуправления муниципального образования Кировской области, допустившие ошибку, представляют повторно заполненную форму критериев оценки эффективности.</w:t>
      </w:r>
    </w:p>
    <w:p w:rsidR="009E0F0D" w:rsidRPr="009E0F0D" w:rsidRDefault="009E0F0D">
      <w:pPr>
        <w:pStyle w:val="ConsPlusNormal"/>
        <w:spacing w:before="220"/>
        <w:ind w:firstLine="540"/>
        <w:jc w:val="both"/>
        <w:rPr>
          <w:rFonts w:ascii="Times New Roman" w:hAnsi="Times New Roman" w:cs="Times New Roman"/>
          <w:sz w:val="24"/>
          <w:szCs w:val="24"/>
        </w:rPr>
      </w:pPr>
      <w:r w:rsidRPr="009E0F0D">
        <w:rPr>
          <w:rFonts w:ascii="Times New Roman" w:hAnsi="Times New Roman" w:cs="Times New Roman"/>
          <w:sz w:val="24"/>
          <w:szCs w:val="24"/>
        </w:rPr>
        <w:t>10. Органам исполнительной власти Кировской области и органам местного самоуправления муниципальных образований Кировской области, набравшим итоговый балл менее 90, необходимо активизировать работу в первую очередь по направлениям, по которым отклонение от максимального значения составляет более 10%.</w:t>
      </w:r>
    </w:p>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jc w:val="right"/>
        <w:outlineLvl w:val="0"/>
        <w:rPr>
          <w:rFonts w:ascii="Times New Roman" w:hAnsi="Times New Roman" w:cs="Times New Roman"/>
          <w:sz w:val="24"/>
          <w:szCs w:val="24"/>
        </w:rPr>
      </w:pPr>
      <w:r w:rsidRPr="009E0F0D">
        <w:rPr>
          <w:rFonts w:ascii="Times New Roman" w:hAnsi="Times New Roman" w:cs="Times New Roman"/>
          <w:sz w:val="24"/>
          <w:szCs w:val="24"/>
        </w:rPr>
        <w:lastRenderedPageBreak/>
        <w:t>Приложение N 2</w:t>
      </w:r>
    </w:p>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Утверждена</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распоряжением</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Губернатора Кировской области</w:t>
      </w:r>
    </w:p>
    <w:p w:rsidR="009E0F0D" w:rsidRPr="009E0F0D" w:rsidRDefault="009E0F0D">
      <w:pPr>
        <w:pStyle w:val="ConsPlusNormal"/>
        <w:jc w:val="right"/>
        <w:rPr>
          <w:rFonts w:ascii="Times New Roman" w:hAnsi="Times New Roman" w:cs="Times New Roman"/>
          <w:sz w:val="24"/>
          <w:szCs w:val="24"/>
        </w:rPr>
      </w:pPr>
      <w:r w:rsidRPr="009E0F0D">
        <w:rPr>
          <w:rFonts w:ascii="Times New Roman" w:hAnsi="Times New Roman" w:cs="Times New Roman"/>
          <w:sz w:val="24"/>
          <w:szCs w:val="24"/>
        </w:rPr>
        <w:t>от 28 октября 2020 г. N 107</w:t>
      </w:r>
    </w:p>
    <w:p w:rsidR="009E0F0D" w:rsidRPr="009E0F0D" w:rsidRDefault="009E0F0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0F0D" w:rsidRPr="009E0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color w:val="392C69"/>
                <w:sz w:val="24"/>
                <w:szCs w:val="24"/>
              </w:rPr>
              <w:t>Список изменяющих документов</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color w:val="392C69"/>
                <w:sz w:val="24"/>
                <w:szCs w:val="24"/>
              </w:rPr>
              <w:t xml:space="preserve">(в ред. </w:t>
            </w:r>
            <w:hyperlink r:id="rId13">
              <w:r w:rsidRPr="009E0F0D">
                <w:rPr>
                  <w:rFonts w:ascii="Times New Roman" w:hAnsi="Times New Roman" w:cs="Times New Roman"/>
                  <w:color w:val="0000FF"/>
                  <w:sz w:val="24"/>
                  <w:szCs w:val="24"/>
                </w:rPr>
                <w:t>распоряжения</w:t>
              </w:r>
            </w:hyperlink>
            <w:r w:rsidRPr="009E0F0D">
              <w:rPr>
                <w:rFonts w:ascii="Times New Roman" w:hAnsi="Times New Roman" w:cs="Times New Roman"/>
                <w:color w:val="392C69"/>
                <w:sz w:val="24"/>
                <w:szCs w:val="24"/>
              </w:rPr>
              <w:t xml:space="preserve"> Губернатора Кировской области от 29.12.2023 N 197)</w:t>
            </w:r>
          </w:p>
        </w:tc>
        <w:tc>
          <w:tcPr>
            <w:tcW w:w="113" w:type="dxa"/>
            <w:tcBorders>
              <w:top w:val="nil"/>
              <w:left w:val="nil"/>
              <w:bottom w:val="nil"/>
              <w:right w:val="nil"/>
            </w:tcBorders>
            <w:shd w:val="clear" w:color="auto" w:fill="F4F3F8"/>
            <w:tcMar>
              <w:top w:w="0" w:type="dxa"/>
              <w:left w:w="0" w:type="dxa"/>
              <w:bottom w:w="0" w:type="dxa"/>
              <w:right w:w="0" w:type="dxa"/>
            </w:tcMar>
          </w:tcPr>
          <w:p w:rsidR="009E0F0D" w:rsidRPr="009E0F0D" w:rsidRDefault="009E0F0D">
            <w:pPr>
              <w:pStyle w:val="ConsPlusNormal"/>
              <w:rPr>
                <w:rFonts w:ascii="Times New Roman" w:hAnsi="Times New Roman" w:cs="Times New Roman"/>
                <w:sz w:val="24"/>
                <w:szCs w:val="24"/>
              </w:rPr>
            </w:pPr>
          </w:p>
        </w:tc>
      </w:tr>
    </w:tbl>
    <w:p w:rsidR="009E0F0D" w:rsidRPr="009E0F0D" w:rsidRDefault="009E0F0D">
      <w:pPr>
        <w:pStyle w:val="ConsPlusNormal"/>
        <w:jc w:val="center"/>
        <w:rPr>
          <w:rFonts w:ascii="Times New Roman" w:hAnsi="Times New Roman" w:cs="Times New Roman"/>
          <w:sz w:val="24"/>
          <w:szCs w:val="24"/>
        </w:rPr>
      </w:pPr>
    </w:p>
    <w:p w:rsidR="009E0F0D" w:rsidRPr="009E0F0D" w:rsidRDefault="009E0F0D">
      <w:pPr>
        <w:pStyle w:val="ConsPlusNormal"/>
        <w:jc w:val="center"/>
        <w:rPr>
          <w:rFonts w:ascii="Times New Roman" w:hAnsi="Times New Roman" w:cs="Times New Roman"/>
          <w:sz w:val="24"/>
          <w:szCs w:val="24"/>
        </w:rPr>
      </w:pPr>
      <w:bookmarkStart w:id="2" w:name="P80"/>
      <w:bookmarkEnd w:id="2"/>
      <w:r w:rsidRPr="009E0F0D">
        <w:rPr>
          <w:rFonts w:ascii="Times New Roman" w:hAnsi="Times New Roman" w:cs="Times New Roman"/>
          <w:b/>
          <w:sz w:val="24"/>
          <w:szCs w:val="24"/>
        </w:rPr>
        <w:t>ФОРМА</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критериев оценки эффективности деятельности по профилактике</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коррупционных и иных правонарушений органов исполнительной</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власти Кировской области и органов местного самоуправления</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муниципальных образований Кировской области</w:t>
      </w:r>
    </w:p>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КРИТЕРИИ</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оценки эффективности деятельности по профилактике</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коррупционных и иных правонарушений органов исполнительной</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власти Кировской области и органов местного самоуправления</w:t>
      </w:r>
    </w:p>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b/>
          <w:sz w:val="24"/>
          <w:szCs w:val="24"/>
        </w:rPr>
        <w:t>муниципальных образований Кировской области</w:t>
      </w:r>
    </w:p>
    <w:p w:rsidR="009E0F0D" w:rsidRPr="009E0F0D" w:rsidRDefault="009E0F0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216"/>
        <w:gridCol w:w="2041"/>
        <w:gridCol w:w="963"/>
      </w:tblGrid>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N п/п</w:t>
            </w:r>
          </w:p>
        </w:tc>
        <w:tc>
          <w:tcPr>
            <w:tcW w:w="5216"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Наименование показателя</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Балльная оценка показателя</w:t>
            </w:r>
          </w:p>
        </w:tc>
        <w:tc>
          <w:tcPr>
            <w:tcW w:w="963"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Балл по показателю</w:t>
            </w:r>
          </w:p>
        </w:tc>
      </w:tr>
      <w:tr w:rsidR="009E0F0D" w:rsidRPr="009E0F0D">
        <w:tc>
          <w:tcPr>
            <w:tcW w:w="850" w:type="dxa"/>
          </w:tcPr>
          <w:p w:rsidR="009E0F0D" w:rsidRPr="009E0F0D" w:rsidRDefault="009E0F0D">
            <w:pPr>
              <w:pStyle w:val="ConsPlusNormal"/>
              <w:jc w:val="center"/>
              <w:outlineLvl w:val="1"/>
              <w:rPr>
                <w:rFonts w:ascii="Times New Roman" w:hAnsi="Times New Roman" w:cs="Times New Roman"/>
                <w:sz w:val="24"/>
                <w:szCs w:val="24"/>
              </w:rPr>
            </w:pPr>
            <w:r w:rsidRPr="009E0F0D">
              <w:rPr>
                <w:rFonts w:ascii="Times New Roman" w:hAnsi="Times New Roman" w:cs="Times New Roman"/>
                <w:b/>
                <w:sz w:val="24"/>
                <w:szCs w:val="24"/>
              </w:rPr>
              <w:t>1.</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b/>
                <w:sz w:val="24"/>
                <w:szCs w:val="24"/>
              </w:rPr>
              <w:t>Показатели, отражающие эффективность проведения органом исполнительной власти Кировской области (органом местного самоуправления муниципального образования Кировской области) организационных мероприятий по обеспечению исполнения антикоррупционного законодательства</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текущую деятельность по профилактике коррупционных и иных правонарушений органа исполнительной власти Кировской области (далее - орган исполнительной власти) (органа местного самоуправления муниципального образования Кировской области) (далее - орган местного самоуправления)</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Доля штатной численности сотрудников подразделений кадровых служб, должностных лиц, ответственных за работу по профилактике коррупционных и иных правонарушений в органе исполнительной власти (органе местного самоуправления) (далее - ответственные лица), от общей штатной численности сотрудников органа </w:t>
            </w:r>
            <w:r w:rsidRPr="009E0F0D">
              <w:rPr>
                <w:rFonts w:ascii="Times New Roman" w:hAnsi="Times New Roman" w:cs="Times New Roman"/>
                <w:sz w:val="24"/>
                <w:szCs w:val="24"/>
              </w:rPr>
              <w:lastRenderedPageBreak/>
              <w:t>исполнительной власти (органа местного самоуправления) (по состоянию на 31 декабря отчетного года)</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(менее 1%)</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(от 1 до 2% включительно)</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(более 2%)</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1.1.2.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Укомплектованность штатной численности ответственных лиц (по состоянию на 31 декабря отчетного года)</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85%)</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(85%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1.1.3.</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ответственных лиц, прошедших повышение квалификации по образовательным программам в области противодействия коррупции с начала срока реализации региональной антикоррупционной программы, действующей в отчетном периоде (далее - Программа), от фактической численности ответственных лиц</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50%)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(50%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1.1.4.</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государственных гражданских служащих Кировской области (далее - государственные служащие)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прошедших повышение квалификации по образовательным программам в области противодействия коррупции с начала срока реализации Программы, от общего количества государственных служащих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50%)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(50%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1.1.5.</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ответственных лиц, имеющих опыт работы в сфере противодействия коррупции более трех лет, от фактической численности ответственных лиц (по состоянию на 31 декабря отчетного года)</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50%)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(50%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1.1.6.</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перечня нормативных правовых актов в сфере противодействия коррупции, с которыми необходимо ознакомить лиц, поступающих на государственную гражданскую службу Кировской области (муниципальную службу), и государственных служащих (муниципальных служащих)</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(отсутствие перечня нормативных правовых актов)</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(наличие перечня нормативных правовых актов)</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1.1.7.</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прошитых, пронумерованных, скрепленных печатью и своевременно заполненных в полном объеме журналов учета, в том числе журналов:</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lastRenderedPageBreak/>
              <w:t>регистрации уведомлений о фактах обращения в целях склонения к совершению коррупционных правонарушений;</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регистрации уведомлений о выполнении иной оплачиваемой работы;</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регистрации обращений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служащего (муниципального служащего);</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регистрации уведомлений о возникшем конфликте интересов или о возможности его возникновения;</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регистрации уведомлений о получении подарков в связи с протокольными мероприятиями, служебными командировками или другими официальными мероприятиями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(менее двух журналов учета)</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(два журнала учета)</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(три и более журнала учета)</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1.2.</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эффективность работы по обеспечению соблюдения государственными служащими (муниципальными служащими) запретов, ограничений и требований, установленных в целях противодействия коррупции</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1.2.1.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Проведение в органе исполнительной власти (органе местного самоуправления) не реже одного раза в год оценки коррупционных рисков, возникающих при реализации органом исполнительной власти (органом местного самоуправления) возложенных на него полномочий</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(оценка коррупционных рисков не проведена)</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(оценка коррупционных рисков проведена)</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1.2.2.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Утверждение (актуализация) перечня должностей, при замещении которых государственные служащие (муниципальные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(далее - перечень) </w:t>
            </w:r>
            <w:r w:rsidRPr="009E0F0D">
              <w:rPr>
                <w:rFonts w:ascii="Times New Roman" w:hAnsi="Times New Roman" w:cs="Times New Roman"/>
                <w:sz w:val="24"/>
                <w:szCs w:val="24"/>
              </w:rPr>
              <w:lastRenderedPageBreak/>
              <w:t>(если в отчетном периоде актуализация перечня не требовалась,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(перечень не утвержден (не актуализирован))</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(перечень утвержден (актуализирован))</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1.2.3.</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государственных служащих (муниципальных служащих), представивших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(далее - сведения) несвоевременно, а также не представивших их по неуважительной причине, от общего числа государственных служащих (муниципальных служащих), обязанных представлять сведения</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(3% и более)</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(менее 3%)</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1.2.4.</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Своевременное (в течение недели) уведомление ответственными лицами представителя нанимателя обо всех случаях непредставления сведений (если в отчетном периоде сведения представлены в установленный срок,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(в случае несвоевременного уведомления)</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(в случае своевременного уведомления)</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1.2.5.</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Выявление лицами, не относящимися к ответственным лицам, фактов замещения должностей (исполнения 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 государственными служащими (муниципальными служащими)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- 5 за каждый выявленный факт</w:t>
            </w: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1.2.6.</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уведомлений о выполнении государственными служащими (муниципальными служащими) иной оплачиваемой работы, направленных представителю нанимателя до начала выполнения работы, от общего числа уведомлений о выполнении иной оплачиваемой работы (если в отчетном периоде иная оплачиваемая работа не выполнялась,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90%)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(90%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1.3.</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Показатели, отражающие эффективность принимаемых мер по выявлению и устранению причин и условий, способствующих возникновению конфликта интересов на государственной гражданской службе Кировской </w:t>
            </w:r>
            <w:r w:rsidRPr="009E0F0D">
              <w:rPr>
                <w:rFonts w:ascii="Times New Roman" w:hAnsi="Times New Roman" w:cs="Times New Roman"/>
                <w:sz w:val="24"/>
                <w:szCs w:val="24"/>
              </w:rPr>
              <w:lastRenderedPageBreak/>
              <w:t>области (далее - государственная служба) (муниципальной службе)</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1.3.1.</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Выявление лицами, не относящимися к ответственным лицам, случаев возникновения конфликта интересов или возможности его возникновения</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- 1 за каждый выявленный случай</w:t>
            </w: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1.3.2.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случаев возникновения конфликта интересов или возможности его возникновения, по которым были приняты установленные законодательством Российской Федерации меры по их урегулированию или предотвращению, от общего числа установленных случаев возникновения конфликта интересов или возможности его возникновения (если в отчетном периоде случаи возникновения конфликта интересов или возможности его возникновения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100%)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1.3.3.</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Проведение ответственными лицами анализа исполнения решений комиссии по соблюдению требований к служебному поведению и урегулированию конфликта интересов (далее - комиссия), принятых по результатам рассмотрения уведомлений государственных служащих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(если решения комиссии отсутствуют,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(анализ исполнения решений комиссии не проведен)</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(анализ исполнения решений комиссии проведен)</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1.4.</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эффективность деятельности комиссии, образованной в органе исполнительной власти (органе местного самоуправления)</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1.4.1.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на официальном сайте органа исполнительной власти (органа местного самоуправления) (далее - официальный сайт) информации о порядке обращения в комиссию и о ее составе</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информации о порядке обращения в комиссию и о ее составе)</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xml:space="preserve">1 (при наличии информации о порядке обращения в комиссию и о ее </w:t>
            </w:r>
            <w:r w:rsidRPr="009E0F0D">
              <w:rPr>
                <w:rFonts w:ascii="Times New Roman" w:hAnsi="Times New Roman" w:cs="Times New Roman"/>
                <w:sz w:val="24"/>
                <w:szCs w:val="24"/>
              </w:rPr>
              <w:lastRenderedPageBreak/>
              <w:t>составе)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1.4.2.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на официальном сайте информации о состоявшихся заседаниях комиссии и принятых на них решениях (выписок из протоколов заседаний комиссии без указания персональных данных) (если в отчетном периоде основания для проведения заседаний комиссии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информации)</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(при наличии информации)</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1.4.3.</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протоколов заседаний комиссии, копии которых были направлены в срок руководителю органа исполнительной власти (органа местного самоуправления), государственному служащему (муниципальному служащему) и иным лицам, от общего числа протоколов заседаний комиссии (если в отчетном периоде основания для проведения заседаний комиссии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90%)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(90%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1.4.4.</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отдельного дела для хранения материалов, связанных с работой комиссии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дела)</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(при наличии дела)</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1.5.</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эффективность оказания государственным служащим (муниципальным служащим) консультативной помощи по вопросам, связанным с применением законодательства Российской Федерации и Кировской области о противодействии коррупции</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1.5.1.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лиц, поступивших в отчетном периоде на государственную службу (муниципальную службу), с которыми была проведена беседа (консультация) о возможных причинах возникновения конфликта интересов и мерах по его предотвращению (в том числе под подпись), от общего числа лиц, поступивших в отчетном периоде на государственную службу (муниципальную службу) (если в отчетном периоде лица, поступившие на государственную службу (муниципальную службу),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100%)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1.5.2.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Доля лиц, замещавших должности государственной службы (муниципальной службы), перечень которых установлен </w:t>
            </w:r>
            <w:r w:rsidRPr="009E0F0D">
              <w:rPr>
                <w:rFonts w:ascii="Times New Roman" w:hAnsi="Times New Roman" w:cs="Times New Roman"/>
                <w:sz w:val="24"/>
                <w:szCs w:val="24"/>
              </w:rPr>
              <w:lastRenderedPageBreak/>
              <w:t>нормативным правовым актом Кировской области (муниципальным правовым актом), уволившихся с государственной службы (муниципальной службы), с которыми была проведена разъяснительная работа по вопросам ограничений при последующем трудоустройстве (в том числе под подпись), от общего числа лиц, замещавших должности государственной службы (муниципальной службы), перечень которых установлен нормативным правовым актом Кировской области (муниципальным правовым актом), уволившихся с государственной службы (муниципальной службы) (далее - уволившиеся лица) (если в отчетном периоде уволившиеся лица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(менее 100%)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1.6.</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Показатель, отражающий эффективность соблюдения в органе исполнительной власти (органе местного самоуправления) законных прав и интересов государственного служащего (муниципального служащего), сообщившего о ставшем ему известным факте коррупции</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rPr>
                <w:rFonts w:ascii="Times New Roman" w:hAnsi="Times New Roman" w:cs="Times New Roman"/>
                <w:sz w:val="24"/>
                <w:szCs w:val="24"/>
              </w:rPr>
            </w:pP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Применение в отчетном периоде к государственному служащему (муниципальному служащему), сообщившему в правоохранительные или иные государственные органы или средства массовой информации о ставшем ему известным факте коррупции, мер дисциплинарной ответственности без рассмотрения соответствующего вопроса на заседании комиссии (в случае совершения государственным служащим (муниципальным служащим) в течение года после сообщения указанной информации дисциплинарного проступка)</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- 3 за каждый имеющийся факт</w:t>
            </w: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1.7.</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степень добросовестности исполнения государственными служащими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1.7.1.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Утверждение правовым актом органа исполнительной власти (органа местного </w:t>
            </w:r>
            <w:r w:rsidRPr="009E0F0D">
              <w:rPr>
                <w:rFonts w:ascii="Times New Roman" w:hAnsi="Times New Roman" w:cs="Times New Roman"/>
                <w:sz w:val="24"/>
                <w:szCs w:val="24"/>
              </w:rPr>
              <w:lastRenderedPageBreak/>
              <w:t>самоуправления) порядка направления представителю нанимателя (работодателю) уведомлений о фактах обращения в целях склонения государственных служащих (муниципальных служащих) к совершению коррупционных правонарушений</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(порядок не утвержден)</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(порядок утвержден)</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1.7.2.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уведомлений представителя нанимателя (работодателя) о фактах обращения в целях склонения государственных служащих (муниципальных служащих) к совершению коррупционных правонарушений, по которым ответственными лицами была организована соответствующая проверка, от общего числа уведомлений представителя нанимателя (работодателя) о фактах обращения в целях склонения государственных служащих (муниципальных служащих) к совершению коррупционных правонарушений (далее - уведомление) (если в отчетном периоде уведомления не поступали,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100%)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1.8.</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эффективность проведения антикоррупционных проверок</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1.8.1.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антикоррупционных проверок, основанием для которых послужила информация, подготовленная ответственными лицами по итогам анализа сведений, представленных государственными служащими (муниципальными служащими), от общего числа антикоррупционных проверок (если в отчетном периоде проведения антикоррупционных проверок не требовалось,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50%)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(50%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1.8.2.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антикоррупционных проверок, проведенных в установленные сроки, от общего числа проведенных антикоррупционных проверок (если в отчетном периоде проведения антикоррупционных проверок не требовалось,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95%)</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(95%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1.8.3.</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Доля лиц, поступивших на государственную службу (муниципальную службу), в отношении которых ответственными лицами была проведена антикоррупционная проверка на предмет соблюдения запрета на занятие предпринимательской деятельностью </w:t>
            </w:r>
            <w:hyperlink w:anchor="P477">
              <w:r w:rsidRPr="009E0F0D">
                <w:rPr>
                  <w:rFonts w:ascii="Times New Roman" w:hAnsi="Times New Roman" w:cs="Times New Roman"/>
                  <w:color w:val="0000FF"/>
                  <w:sz w:val="24"/>
                  <w:szCs w:val="24"/>
                </w:rPr>
                <w:t>&lt;1&gt;</w:t>
              </w:r>
            </w:hyperlink>
            <w:r w:rsidRPr="009E0F0D">
              <w:rPr>
                <w:rFonts w:ascii="Times New Roman" w:hAnsi="Times New Roman" w:cs="Times New Roman"/>
                <w:sz w:val="24"/>
                <w:szCs w:val="24"/>
              </w:rPr>
              <w:t xml:space="preserve">, от общего числа лиц, поступивших на </w:t>
            </w:r>
            <w:r w:rsidRPr="009E0F0D">
              <w:rPr>
                <w:rFonts w:ascii="Times New Roman" w:hAnsi="Times New Roman" w:cs="Times New Roman"/>
                <w:sz w:val="24"/>
                <w:szCs w:val="24"/>
              </w:rPr>
              <w:lastRenderedPageBreak/>
              <w:t>государственную службу (муниципальную службу) (если в отчетном периоде лица, поступившие на государственную службу (муниципальную службу),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(менее 75%)</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(от 75 до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1.8.4.</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Доля поступивших в орган исполнительной власти (орган местного самоуправления) уведомлений коммерческих (некоммерческих) организаций о заключении с гражданином трудового (гражданско-правового) договора, по результатам рассмотрения которых ответственными лицами были подготовлены мотивированные заключения о соблюдении уволившимися лицами требований </w:t>
            </w:r>
            <w:hyperlink r:id="rId14">
              <w:r w:rsidRPr="009E0F0D">
                <w:rPr>
                  <w:rFonts w:ascii="Times New Roman" w:hAnsi="Times New Roman" w:cs="Times New Roman"/>
                  <w:color w:val="0000FF"/>
                  <w:sz w:val="24"/>
                  <w:szCs w:val="24"/>
                </w:rPr>
                <w:t>статьи 12</w:t>
              </w:r>
            </w:hyperlink>
            <w:r w:rsidRPr="009E0F0D">
              <w:rPr>
                <w:rFonts w:ascii="Times New Roman" w:hAnsi="Times New Roman" w:cs="Times New Roman"/>
                <w:sz w:val="24"/>
                <w:szCs w:val="24"/>
              </w:rPr>
              <w:t xml:space="preserve"> Федерального закона от 25.12.2008 N 273-ФЗ "О противодействии коррупции", от общего количества поступивших в орган исполнительной власти (орган местного самоуправления) уведомлений коммерческих (некоммерческих) организаций о заключении с гражданином трудового (гражданско-правового) договора (далее - уведомление работодателя) (если в отчетном периоде уведомления работодателей не поступали,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75%)</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(от 75 до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1.9.</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эффективность принятых органом исполнительной власти (органом местного самоуправления) в пределах своей компетенции нормативных правовых актов и иных актов по вопросам противодействия коррупции</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1.9.1.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в органе исполнительной власти (органе местного самоуправления) нормативных правовых актов и иных актов по обеспечению исполнения антикоррупционного законодательства, в том числе нормативных правовых актов и иных актов, утверждающих:</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и зачисления средств, вырученных от его реализации;</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порядок работы телефона доверия по вопросам противодействия коррупции;</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положение о комиссии по соблюдению требований к служебному поведению </w:t>
            </w:r>
            <w:r w:rsidRPr="009E0F0D">
              <w:rPr>
                <w:rFonts w:ascii="Times New Roman" w:hAnsi="Times New Roman" w:cs="Times New Roman"/>
                <w:sz w:val="24"/>
                <w:szCs w:val="24"/>
              </w:rPr>
              <w:lastRenderedPageBreak/>
              <w:t>государственных служащих (муниципальных служащих) и урегулированию конфликта интересов;</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порядок уведомления представителя нанимателя о фактах обращения в целях склонения государственного служащего (муниципального служащего) к совершению коррупционных правонарушений;</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порядок сообщения лицами, замещающими должности государственной службы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порядок предварительного уведомления государственными служащими (муниципальными служащими) представителя нанимателя о выполнении иной оплачиваемой работы;</w:t>
            </w:r>
          </w:p>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положение о представлении гражданами, претендующими на замещение должностей государственной службы (муниципальной службы), и государственными служащими (муниципальными служащими) сведений</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(менее шести правовых актов)</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(шесть правовых актов)</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(семь и более правовых актов)</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1.9.2.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Соответствие плана противодействия коррупции в органе исполнительной власти (органе местного самоуправления) (далее - план) Программе</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(несоответствие плана Программе)</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(соответствие плана Программе)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1.9.3.</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Количество мероприятий, включенных в план на отчетный период, но не реализованных в срок</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- 1 за каждое не исполненное в срок мероприятие</w:t>
            </w: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1.10.</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эффективность проведения анализа сведений</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1.10.1.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сведений, в отношении которых проведен анализ, от общего количества представленных в отчетном периоде сведений</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(95% и менее)</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(более 95%)</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1.10.2.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Сопоставление всех представленных в отчетном периоде справок о доходах, расходах, об имуществе и обязательствах имущественного характера (далее - справка о доходах) со справками о доходах за период, предшествующий отчетному периоду (в случае их наличия), а также с иной имеющейся информацией об имущественном положении лиц, представивших сведения, получение и обработка которой не противоречит законодательству Российской </w:t>
            </w:r>
            <w:r w:rsidRPr="009E0F0D">
              <w:rPr>
                <w:rFonts w:ascii="Times New Roman" w:hAnsi="Times New Roman" w:cs="Times New Roman"/>
                <w:sz w:val="24"/>
                <w:szCs w:val="24"/>
              </w:rPr>
              <w:lastRenderedPageBreak/>
              <w:t>Федерации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(сопоставление всех справок о доходах не проведено)</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(сопоставление всех справок о доходах проведено)</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1.11.</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эффективность участия органа исполнительной власти (органа местного самоуправления) в пределах своей компетенции в обеспечении размещения сведений на официальном сайте, а также в обеспечении представления сведений общероссийским средствам массовой информации для опубликования</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1.11.1.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сведений, размещенных в отчетном периоде на официальном сайте в порядке, в объеме и в срок, которые установлены нормативными правовыми актами Российской Федерации, от общего количества сведений, подлежащих размещению (если в отчетном периоде размещение сведений не требовалось,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100%)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1.11.2.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уточненных сведений, своевременно размещенных в отчетном периоде на официальном сайте, от общего количества уточненных сведений, подлежащих размещению (если в отчетном периоде размещение уточненных сведений не требовалось,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(менее 100%)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(100%)</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1.12.</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Показатели, отражающие эффективность осуществления иных функций в области противодействия коррупции, в соответствии с законодательством Российской Федерации и Кировской области</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1.12.1.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на официальном сайте контактной информации (формы обратной связи, адреса для направления письменных обращений и др.) для направления сообщений о фактах коррупции или нарушения государственными служащими (муниципальными служащими) требований к служебному поведению</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контактной информации)</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(при наличии контактной информации)</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1.12.2.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в органе исполнительной власти (органе местного самоуправления) горячей линии (телефона доверия) по вопросам противодействия коррупции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горячей линии (телефона доверия))</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(при наличии горячей линии (телефона доверия))</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1.12.3.</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Проведение не реже одного раза в три года </w:t>
            </w:r>
            <w:r w:rsidRPr="009E0F0D">
              <w:rPr>
                <w:rFonts w:ascii="Times New Roman" w:hAnsi="Times New Roman" w:cs="Times New Roman"/>
                <w:sz w:val="24"/>
                <w:szCs w:val="24"/>
              </w:rPr>
              <w:lastRenderedPageBreak/>
              <w:t xml:space="preserve">проверок соблюдения государственными и муниципальными учреждениями, иными организациями Кировской области, подведомственными органу исполнительной власти (органу местного самоуправления) (далее - подведомственные организации), требований </w:t>
            </w:r>
            <w:hyperlink r:id="rId15">
              <w:r w:rsidRPr="009E0F0D">
                <w:rPr>
                  <w:rFonts w:ascii="Times New Roman" w:hAnsi="Times New Roman" w:cs="Times New Roman"/>
                  <w:color w:val="0000FF"/>
                  <w:sz w:val="24"/>
                  <w:szCs w:val="24"/>
                </w:rPr>
                <w:t>статьи 13.3</w:t>
              </w:r>
            </w:hyperlink>
            <w:r w:rsidRPr="009E0F0D">
              <w:rPr>
                <w:rFonts w:ascii="Times New Roman" w:hAnsi="Times New Roman" w:cs="Times New Roman"/>
                <w:sz w:val="24"/>
                <w:szCs w:val="24"/>
              </w:rPr>
              <w:t xml:space="preserve"> Федерального закона от 25.12.2008 N 273-ФЗ "О противодействии коррупции", по итогам которых составлены соответствующие справки (если в отчетном периоде подведомственные организации отсутствовали либо проведение проверок с учетом указанной периодичности не требовалось,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 xml:space="preserve">0 (проверки не </w:t>
            </w:r>
            <w:r w:rsidRPr="009E0F0D">
              <w:rPr>
                <w:rFonts w:ascii="Times New Roman" w:hAnsi="Times New Roman" w:cs="Times New Roman"/>
                <w:sz w:val="24"/>
                <w:szCs w:val="24"/>
              </w:rPr>
              <w:lastRenderedPageBreak/>
              <w:t>проведены)</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(проверки проведены в отношении менее 75% подведомственных организаций)</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(проверки проведены в отношении 75% и более подведомственных организаций)</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1.12.4.</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- 3 (анализ закупочной деятельности не проведен)</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(анализ закупочной деятельности проведен)</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1.12.5.</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Составление ответственными лицами профилей государственных служащих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и профилей участников закупок, а также осуществление перекрестного анализа указанных профилей в целях выявления личной заинтересованности государственных служащих (муниципальных служащих) при осуществлении закупок</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(профили не составлены, перекрестный анализ не проведен)</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(профили составлены, перекрестный анализ не проведен)</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(профили составлены, перекрестный анализ проведен)</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outlineLvl w:val="1"/>
              <w:rPr>
                <w:rFonts w:ascii="Times New Roman" w:hAnsi="Times New Roman" w:cs="Times New Roman"/>
                <w:sz w:val="24"/>
                <w:szCs w:val="24"/>
              </w:rPr>
            </w:pPr>
            <w:r w:rsidRPr="009E0F0D">
              <w:rPr>
                <w:rFonts w:ascii="Times New Roman" w:hAnsi="Times New Roman" w:cs="Times New Roman"/>
                <w:b/>
                <w:sz w:val="24"/>
                <w:szCs w:val="24"/>
              </w:rPr>
              <w:t>2.</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b/>
                <w:sz w:val="24"/>
                <w:szCs w:val="24"/>
              </w:rPr>
              <w:t>Показатели, отражающие эффективность деятельности органа исполнительной власти (органа местного самоуправления) по антикоррупционному просвещению</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Доля государственных служащих (муниципальных служащих), ознакомленных с нормативными правовыми актами и иными актами (локальными нормативными актами) в сфере противодействия коррупции, </w:t>
            </w:r>
            <w:r w:rsidRPr="009E0F0D">
              <w:rPr>
                <w:rFonts w:ascii="Times New Roman" w:hAnsi="Times New Roman" w:cs="Times New Roman"/>
                <w:sz w:val="24"/>
                <w:szCs w:val="24"/>
              </w:rPr>
              <w:lastRenderedPageBreak/>
              <w:t>обязательными для ознакомления, от общего числа государственных служащих, муниципальных служащих (по состоянию на 31 декабря отчетного года)</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(менее 75%)</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(от 75 до 85%)</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(85%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2.2.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в органе исполнительной власти (органе местного самоуправления) стенда, отражающего актуальные вопросы профилактики коррупции (локальные нормативные акты в сфере противодействия коррупции, работа комиссии, формы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уведомления о фактах обращения в целях склонения к совершению коррупционных правонарушений и др.)</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стенда)</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(при наличии стенда)</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2.3.</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Проведение для лиц, впервые поступивших на государственную службу (муниципальную службу), вводных лекций, семинаров и иных обучающих мероприятий в области противодействия коррупции (если в отчетном периоде лица, впервые поступившие на государственную службу (муниципальную службу),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(вводные лекции, семинары и иные обучающие мероприятия не проведены)</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(вводные лекции, семинары и иные обучающие мероприятия проведены)</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2.4.</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Проведение для государственных служащих (муниципальных служащих) лекций, семинаров и иных обучающих мероприятий в области противодействия коррупции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(лекции, семинары и иные обучающие мероприятия не проведены)</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(проведены лекции, семинары и иные обучающие мероприятия в количестве 1 - 3 единиц)</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xml:space="preserve">3 (проведены лекции, семинары и иные обучающие мероприятия в количестве 4 и </w:t>
            </w:r>
            <w:r w:rsidRPr="009E0F0D">
              <w:rPr>
                <w:rFonts w:ascii="Times New Roman" w:hAnsi="Times New Roman" w:cs="Times New Roman"/>
                <w:sz w:val="24"/>
                <w:szCs w:val="24"/>
              </w:rPr>
              <w:lastRenderedPageBreak/>
              <w:t>более единиц)</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2.5.</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Разработка памяток, пособий и иных методических материалов по вопросам противодействия коррупции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(памятки, пособия и иные методические материалы не разработаны)</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(памятки, пособия и иные методические материалы разработаны)</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2.6.</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механизмов контроля знаний в сфере противодействия коррупции (тестирование и др.)</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механизмов контроля)</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(при наличии механизмов контроля)</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2.7.</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Проведение с руководителями и иными должностными лицами подведомственных организаций совещаний, семинаров, круглых столов и иных мероприятий по вопросам исполнения законодательства о противодействии коррупции (если в отчетном периоде подведомственные организации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(совещания, семинары, круглые столы и иные мероприятия не проведены)</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(в совещаниях, семинарах, круглых столах и иных мероприятиях приняли участие представители менее 75% подведомственных организаций)</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(в совещаниях, семинарах, круглых столах и иных мероприятиях приняли участие представители 75% и более подведомственных организаций)</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2.8.</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Наличие в разделе официального сайта, посвященного вопросам противодействия коррупции (далее - раздел сайта), специального </w:t>
            </w:r>
            <w:r w:rsidRPr="009E0F0D">
              <w:rPr>
                <w:rFonts w:ascii="Times New Roman" w:hAnsi="Times New Roman" w:cs="Times New Roman"/>
                <w:sz w:val="24"/>
                <w:szCs w:val="24"/>
              </w:rPr>
              <w:lastRenderedPageBreak/>
              <w:t>подраздела для подведомственных организаций (если в отчетном периоде подведомственные организации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(при отсутствии специального подраздела)</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(при наличии специального подраздела)</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outlineLvl w:val="1"/>
              <w:rPr>
                <w:rFonts w:ascii="Times New Roman" w:hAnsi="Times New Roman" w:cs="Times New Roman"/>
                <w:sz w:val="24"/>
                <w:szCs w:val="24"/>
              </w:rPr>
            </w:pPr>
            <w:r w:rsidRPr="009E0F0D">
              <w:rPr>
                <w:rFonts w:ascii="Times New Roman" w:hAnsi="Times New Roman" w:cs="Times New Roman"/>
                <w:b/>
                <w:sz w:val="24"/>
                <w:szCs w:val="24"/>
              </w:rPr>
              <w:lastRenderedPageBreak/>
              <w:t>3.</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b/>
                <w:sz w:val="24"/>
                <w:szCs w:val="24"/>
              </w:rPr>
              <w:t>Показатели информационной открытости деятельности по противодействию коррупции органа исполнительной власти (органа местного самоуправления)</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Простота доступа к разделу сайта (количество переходов по гиперссылке, необходимое для доступа к разделу сайта с его главной страницы)</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(два и более перехода)</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(один переход)</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в подразделе "Нормативные правовые и иные акты в сфере противодействия коррупции" раздела сайта списка нормативных правовых актов и иных актов (локальных нормативных актов) по вопросам противодействия коррупции (далее - нормативные правовые акты) с приложением файлов, содержащих полные тексты нормативных правовых актов в актуальной редакции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списка нормативных правовых актов с приложением файлов)</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(при наличии списка нормативных правовых актов с приложением файлов)</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3.3.</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Наличие в подразделе "Обратная связь для сообщений о фактах коррупции" раздела сайта гиперссылки, перекрестной с гиперссылкой, при переходе по которой осуществляется доступ к разделу "Обращения граждан" официального сайта, включающему информацию о нормативном правовом акте, регламентирующем порядок рассмотрения обращений граждан, о способах для граждан и юридических лиц беспрепятственно направлять свои обращения в орган исполнительной власти (орган местного самоуправления) (информация о работе горячей линии, телефона доверия, об отправке почтовых сообщений, форма направления сообщений гражданами и организациями через официальный сайт)</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0 (при отсутствии гиперссылки)</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(при наличии гиперссылки)</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3.4.</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Наличие в подразделе "Антикоррупционная экспертиза" раздела сайта гиперссылки, перекрестной с гиперссылкой, при переходе по которой осуществляется доступ к подразделу официального сайта, созданному для размещения информации о подготовке органами исполнительной власти (органами местного </w:t>
            </w:r>
            <w:r w:rsidRPr="009E0F0D">
              <w:rPr>
                <w:rFonts w:ascii="Times New Roman" w:hAnsi="Times New Roman" w:cs="Times New Roman"/>
                <w:sz w:val="24"/>
                <w:szCs w:val="24"/>
              </w:rPr>
              <w:lastRenderedPageBreak/>
              <w:t>самоуправления) проектов нормативных правовых актов и результатах их общественного обсуждения в рамках процедуры независимой антикоррупционной экспертизы</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0 (при отсутствии гиперссылки)</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3 (при наличии гиперссылки)</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outlineLvl w:val="1"/>
              <w:rPr>
                <w:rFonts w:ascii="Times New Roman" w:hAnsi="Times New Roman" w:cs="Times New Roman"/>
                <w:sz w:val="24"/>
                <w:szCs w:val="24"/>
              </w:rPr>
            </w:pPr>
            <w:r w:rsidRPr="009E0F0D">
              <w:rPr>
                <w:rFonts w:ascii="Times New Roman" w:hAnsi="Times New Roman" w:cs="Times New Roman"/>
                <w:b/>
                <w:sz w:val="24"/>
                <w:szCs w:val="24"/>
              </w:rPr>
              <w:lastRenderedPageBreak/>
              <w:t>4.</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b/>
                <w:sz w:val="24"/>
                <w:szCs w:val="24"/>
              </w:rPr>
              <w:t>Показатели, отражающие результативность деятельности в сфере противодействия коррупции органа исполнительной власти (органа местного самоуправления)</w:t>
            </w:r>
          </w:p>
        </w:tc>
        <w:tc>
          <w:tcPr>
            <w:tcW w:w="2041" w:type="dxa"/>
          </w:tcPr>
          <w:p w:rsidR="009E0F0D" w:rsidRPr="009E0F0D" w:rsidRDefault="009E0F0D">
            <w:pPr>
              <w:pStyle w:val="ConsPlusNormal"/>
              <w:rPr>
                <w:rFonts w:ascii="Times New Roman" w:hAnsi="Times New Roman" w:cs="Times New Roman"/>
                <w:sz w:val="24"/>
                <w:szCs w:val="24"/>
              </w:rPr>
            </w:pP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4.1.</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обращений граждан, содержащих сведения о совершении государственными служащими (муниципальными служащими) коррупционных правонарушений, о несоблюдении ими требований к служебному поведению, по которым ответственные лица в течение пяти рабочих дней с даты получения информации инициировали проведение проверок, от общего числа обращений граждан, содержащих сведения о совершении государственными служащими (муниципальными служащими) коррупционных правонарушений, о несоблюдении ими требований к служебному поведению (если в отчетном периоде указанные обращения граждан не поступали,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(менее 90%)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(90%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val="restart"/>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4.2.</w:t>
            </w:r>
          </w:p>
        </w:tc>
        <w:tc>
          <w:tcPr>
            <w:tcW w:w="5216" w:type="dxa"/>
            <w:vMerge w:val="restart"/>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Доля материалов, направленных ответственными лицами в правоохранительные органы, по которым возбуждены дела о привлечении государственных служащих (муниципальных служащих) к уголовной ответственности за совершение преступлений коррупционной направленности, от общего числа материалов, направленных ответственными лицами в правоохранительные органы (если в отчетном периоде основания для направления ответственными лицами материалов в правоохранительные органы отсутствовали, для данного показателя ставится максимальный балл)</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1 (менее 90%)</w:t>
            </w:r>
          </w:p>
        </w:tc>
        <w:tc>
          <w:tcPr>
            <w:tcW w:w="963" w:type="dxa"/>
            <w:vMerge w:val="restart"/>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vMerge/>
          </w:tcPr>
          <w:p w:rsidR="009E0F0D" w:rsidRPr="009E0F0D" w:rsidRDefault="009E0F0D">
            <w:pPr>
              <w:pStyle w:val="ConsPlusNormal"/>
              <w:rPr>
                <w:rFonts w:ascii="Times New Roman" w:hAnsi="Times New Roman" w:cs="Times New Roman"/>
                <w:sz w:val="24"/>
                <w:szCs w:val="24"/>
              </w:rPr>
            </w:pPr>
          </w:p>
        </w:tc>
        <w:tc>
          <w:tcPr>
            <w:tcW w:w="5216" w:type="dxa"/>
            <w:vMerge/>
          </w:tcPr>
          <w:p w:rsidR="009E0F0D" w:rsidRPr="009E0F0D" w:rsidRDefault="009E0F0D">
            <w:pPr>
              <w:pStyle w:val="ConsPlusNormal"/>
              <w:rPr>
                <w:rFonts w:ascii="Times New Roman" w:hAnsi="Times New Roman" w:cs="Times New Roman"/>
                <w:sz w:val="24"/>
                <w:szCs w:val="24"/>
              </w:rPr>
            </w:pP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2 (90% и более)</w:t>
            </w:r>
          </w:p>
        </w:tc>
        <w:tc>
          <w:tcPr>
            <w:tcW w:w="963" w:type="dxa"/>
            <w:vMerge/>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4.3.</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Количество случаев восстановления государственных служащих (муниципальных служащих) в должности или отмены приказов о наложении взысканий по результатам оспаривания увольнений, иных видов взысканий за совершение коррупционных правонарушений в связи с допущенными нарушениями процедуры привлечения к ответственности (несоблюдение сроков проведения проверок и др.)</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- 2 за каждый случай</w:t>
            </w: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4.4.</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 xml:space="preserve">Количество случаев восстановления </w:t>
            </w:r>
            <w:r w:rsidRPr="009E0F0D">
              <w:rPr>
                <w:rFonts w:ascii="Times New Roman" w:hAnsi="Times New Roman" w:cs="Times New Roman"/>
                <w:sz w:val="24"/>
                <w:szCs w:val="24"/>
              </w:rPr>
              <w:lastRenderedPageBreak/>
              <w:t>государственных служащих (муниципальных служащих) в должности или отмены приказов о наложении взыскания по результатам оспаривания увольнений, иных видов взысканий за совершение коррупционных правонарушений по причине установления отсутствия в действиях (бездействии) государственных служащих (муниципальных служащих) состава правонарушения или несоответствия совершенного правонарушения примененной мере ответственности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 xml:space="preserve">- 5 за каждый </w:t>
            </w:r>
            <w:r w:rsidRPr="009E0F0D">
              <w:rPr>
                <w:rFonts w:ascii="Times New Roman" w:hAnsi="Times New Roman" w:cs="Times New Roman"/>
                <w:sz w:val="24"/>
                <w:szCs w:val="24"/>
              </w:rPr>
              <w:lastRenderedPageBreak/>
              <w:t>случай</w:t>
            </w: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lastRenderedPageBreak/>
              <w:t>4.5.</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Количество случаев, когда суд (первой или апелляционной инстанции) пришел к выводу о незаконности решения комиссии, нарушении порядка проведения заседания комиссии или порядка формирования комиссии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- 2 за каждый случай</w:t>
            </w: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4.6.</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Количество случаев, когда суд (первой или апелляционной инстанции) пришел к выводу о нарушении порядка проведения антикоррупционной проверки</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- 2 за каждый случай</w:t>
            </w:r>
          </w:p>
        </w:tc>
        <w:tc>
          <w:tcPr>
            <w:tcW w:w="963" w:type="dxa"/>
          </w:tcPr>
          <w:p w:rsidR="009E0F0D" w:rsidRPr="009E0F0D" w:rsidRDefault="009E0F0D">
            <w:pPr>
              <w:pStyle w:val="ConsPlusNormal"/>
              <w:rPr>
                <w:rFonts w:ascii="Times New Roman" w:hAnsi="Times New Roman" w:cs="Times New Roman"/>
                <w:sz w:val="24"/>
                <w:szCs w:val="24"/>
              </w:rPr>
            </w:pPr>
          </w:p>
        </w:tc>
      </w:tr>
      <w:tr w:rsidR="009E0F0D" w:rsidRPr="009E0F0D">
        <w:tc>
          <w:tcPr>
            <w:tcW w:w="850"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4.7.</w:t>
            </w:r>
          </w:p>
        </w:tc>
        <w:tc>
          <w:tcPr>
            <w:tcW w:w="5216" w:type="dxa"/>
          </w:tcPr>
          <w:p w:rsidR="009E0F0D" w:rsidRPr="009E0F0D" w:rsidRDefault="009E0F0D">
            <w:pPr>
              <w:pStyle w:val="ConsPlusNormal"/>
              <w:jc w:val="both"/>
              <w:rPr>
                <w:rFonts w:ascii="Times New Roman" w:hAnsi="Times New Roman" w:cs="Times New Roman"/>
                <w:sz w:val="24"/>
                <w:szCs w:val="24"/>
              </w:rPr>
            </w:pPr>
            <w:r w:rsidRPr="009E0F0D">
              <w:rPr>
                <w:rFonts w:ascii="Times New Roman" w:hAnsi="Times New Roman" w:cs="Times New Roman"/>
                <w:sz w:val="24"/>
                <w:szCs w:val="24"/>
              </w:rPr>
              <w:t>Количество случаев отмены решения представителя нанимателя о способе предотвращения или урегулирования конфликта интересов по результатам обжалования такого решения в суде</w:t>
            </w:r>
          </w:p>
        </w:tc>
        <w:tc>
          <w:tcPr>
            <w:tcW w:w="2041" w:type="dxa"/>
          </w:tcPr>
          <w:p w:rsidR="009E0F0D" w:rsidRPr="009E0F0D" w:rsidRDefault="009E0F0D">
            <w:pPr>
              <w:pStyle w:val="ConsPlusNormal"/>
              <w:jc w:val="center"/>
              <w:rPr>
                <w:rFonts w:ascii="Times New Roman" w:hAnsi="Times New Roman" w:cs="Times New Roman"/>
                <w:sz w:val="24"/>
                <w:szCs w:val="24"/>
              </w:rPr>
            </w:pPr>
            <w:r w:rsidRPr="009E0F0D">
              <w:rPr>
                <w:rFonts w:ascii="Times New Roman" w:hAnsi="Times New Roman" w:cs="Times New Roman"/>
                <w:sz w:val="24"/>
                <w:szCs w:val="24"/>
              </w:rPr>
              <w:t>- 1 за каждый случай</w:t>
            </w:r>
          </w:p>
        </w:tc>
        <w:tc>
          <w:tcPr>
            <w:tcW w:w="963" w:type="dxa"/>
          </w:tcPr>
          <w:p w:rsidR="009E0F0D" w:rsidRPr="009E0F0D" w:rsidRDefault="009E0F0D">
            <w:pPr>
              <w:pStyle w:val="ConsPlusNormal"/>
              <w:rPr>
                <w:rFonts w:ascii="Times New Roman" w:hAnsi="Times New Roman" w:cs="Times New Roman"/>
                <w:sz w:val="24"/>
                <w:szCs w:val="24"/>
              </w:rPr>
            </w:pPr>
          </w:p>
        </w:tc>
      </w:tr>
    </w:tbl>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ind w:firstLine="540"/>
        <w:jc w:val="both"/>
        <w:rPr>
          <w:rFonts w:ascii="Times New Roman" w:hAnsi="Times New Roman" w:cs="Times New Roman"/>
          <w:sz w:val="24"/>
          <w:szCs w:val="24"/>
        </w:rPr>
      </w:pPr>
      <w:r w:rsidRPr="009E0F0D">
        <w:rPr>
          <w:rFonts w:ascii="Times New Roman" w:hAnsi="Times New Roman" w:cs="Times New Roman"/>
          <w:sz w:val="24"/>
          <w:szCs w:val="24"/>
        </w:rPr>
        <w:t>--------------------------------</w:t>
      </w:r>
    </w:p>
    <w:p w:rsidR="009E0F0D" w:rsidRPr="009E0F0D" w:rsidRDefault="009E0F0D">
      <w:pPr>
        <w:pStyle w:val="ConsPlusNormal"/>
        <w:spacing w:before="220"/>
        <w:ind w:firstLine="540"/>
        <w:jc w:val="both"/>
        <w:rPr>
          <w:rFonts w:ascii="Times New Roman" w:hAnsi="Times New Roman" w:cs="Times New Roman"/>
          <w:sz w:val="24"/>
          <w:szCs w:val="24"/>
        </w:rPr>
      </w:pPr>
      <w:bookmarkStart w:id="3" w:name="P477"/>
      <w:bookmarkEnd w:id="3"/>
      <w:r w:rsidRPr="009E0F0D">
        <w:rPr>
          <w:rFonts w:ascii="Times New Roman" w:hAnsi="Times New Roman" w:cs="Times New Roman"/>
          <w:sz w:val="24"/>
          <w:szCs w:val="24"/>
        </w:rPr>
        <w:t>&lt;1&gt; Осуществляется с использованием Единого государственного реестра юридических лиц, Единого государственного реестра индивидуальных предпринимателей, Всероссийской системы проверки контрагентов (www.zachestnyibiznes.ru), сервиса Rusprofile (www.rusprofile.ru) и др.</w:t>
      </w:r>
    </w:p>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jc w:val="both"/>
        <w:rPr>
          <w:rFonts w:ascii="Times New Roman" w:hAnsi="Times New Roman" w:cs="Times New Roman"/>
          <w:sz w:val="24"/>
          <w:szCs w:val="24"/>
        </w:rPr>
      </w:pPr>
    </w:p>
    <w:p w:rsidR="009E0F0D" w:rsidRPr="009E0F0D" w:rsidRDefault="009E0F0D">
      <w:pPr>
        <w:pStyle w:val="ConsPlusNormal"/>
        <w:pBdr>
          <w:bottom w:val="single" w:sz="6" w:space="0" w:color="auto"/>
        </w:pBdr>
        <w:spacing w:before="100" w:after="100"/>
        <w:jc w:val="both"/>
        <w:rPr>
          <w:rFonts w:ascii="Times New Roman" w:hAnsi="Times New Roman" w:cs="Times New Roman"/>
          <w:sz w:val="24"/>
          <w:szCs w:val="24"/>
        </w:rPr>
      </w:pPr>
    </w:p>
    <w:p w:rsidR="00C65BC1" w:rsidRPr="009E0F0D" w:rsidRDefault="00C65BC1">
      <w:pPr>
        <w:rPr>
          <w:rFonts w:ascii="Times New Roman" w:hAnsi="Times New Roman" w:cs="Times New Roman"/>
          <w:sz w:val="24"/>
          <w:szCs w:val="24"/>
        </w:rPr>
      </w:pPr>
    </w:p>
    <w:sectPr w:rsidR="00C65BC1" w:rsidRPr="009E0F0D" w:rsidSect="009E0F0D">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11" w:rsidRDefault="00685211" w:rsidP="009E0F0D">
      <w:pPr>
        <w:spacing w:after="0" w:line="240" w:lineRule="auto"/>
      </w:pPr>
      <w:r>
        <w:separator/>
      </w:r>
    </w:p>
  </w:endnote>
  <w:endnote w:type="continuationSeparator" w:id="0">
    <w:p w:rsidR="00685211" w:rsidRDefault="00685211" w:rsidP="009E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11" w:rsidRDefault="00685211" w:rsidP="009E0F0D">
      <w:pPr>
        <w:spacing w:after="0" w:line="240" w:lineRule="auto"/>
      </w:pPr>
      <w:r>
        <w:separator/>
      </w:r>
    </w:p>
  </w:footnote>
  <w:footnote w:type="continuationSeparator" w:id="0">
    <w:p w:rsidR="00685211" w:rsidRDefault="00685211" w:rsidP="009E0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278318"/>
      <w:docPartObj>
        <w:docPartGallery w:val="Page Numbers (Top of Page)"/>
        <w:docPartUnique/>
      </w:docPartObj>
    </w:sdtPr>
    <w:sdtEndPr>
      <w:rPr>
        <w:rFonts w:ascii="Times New Roman" w:hAnsi="Times New Roman" w:cs="Times New Roman"/>
        <w:sz w:val="24"/>
        <w:szCs w:val="24"/>
      </w:rPr>
    </w:sdtEndPr>
    <w:sdtContent>
      <w:p w:rsidR="009E0F0D" w:rsidRPr="009E0F0D" w:rsidRDefault="009E0F0D">
        <w:pPr>
          <w:pStyle w:val="a3"/>
          <w:jc w:val="center"/>
          <w:rPr>
            <w:rFonts w:ascii="Times New Roman" w:hAnsi="Times New Roman" w:cs="Times New Roman"/>
            <w:sz w:val="24"/>
            <w:szCs w:val="24"/>
          </w:rPr>
        </w:pPr>
        <w:r w:rsidRPr="009E0F0D">
          <w:rPr>
            <w:rFonts w:ascii="Times New Roman" w:hAnsi="Times New Roman" w:cs="Times New Roman"/>
            <w:sz w:val="24"/>
            <w:szCs w:val="24"/>
          </w:rPr>
          <w:fldChar w:fldCharType="begin"/>
        </w:r>
        <w:r w:rsidRPr="009E0F0D">
          <w:rPr>
            <w:rFonts w:ascii="Times New Roman" w:hAnsi="Times New Roman" w:cs="Times New Roman"/>
            <w:sz w:val="24"/>
            <w:szCs w:val="24"/>
          </w:rPr>
          <w:instrText>PAGE   \* MERGEFORMAT</w:instrText>
        </w:r>
        <w:r w:rsidRPr="009E0F0D">
          <w:rPr>
            <w:rFonts w:ascii="Times New Roman" w:hAnsi="Times New Roman" w:cs="Times New Roman"/>
            <w:sz w:val="24"/>
            <w:szCs w:val="24"/>
          </w:rPr>
          <w:fldChar w:fldCharType="separate"/>
        </w:r>
        <w:r>
          <w:rPr>
            <w:rFonts w:ascii="Times New Roman" w:hAnsi="Times New Roman" w:cs="Times New Roman"/>
            <w:noProof/>
            <w:sz w:val="24"/>
            <w:szCs w:val="24"/>
          </w:rPr>
          <w:t>8</w:t>
        </w:r>
        <w:r w:rsidRPr="009E0F0D">
          <w:rPr>
            <w:rFonts w:ascii="Times New Roman" w:hAnsi="Times New Roman" w:cs="Times New Roman"/>
            <w:sz w:val="24"/>
            <w:szCs w:val="24"/>
          </w:rPr>
          <w:fldChar w:fldCharType="end"/>
        </w:r>
      </w:p>
    </w:sdtContent>
  </w:sdt>
  <w:p w:rsidR="009E0F0D" w:rsidRDefault="009E0F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0D"/>
    <w:rsid w:val="00685211"/>
    <w:rsid w:val="009E0F0D"/>
    <w:rsid w:val="00C6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E49B6A-16D3-42B1-B617-C01C5658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F0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E0F0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E0F0D"/>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9E0F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0F0D"/>
  </w:style>
  <w:style w:type="paragraph" w:styleId="a5">
    <w:name w:val="footer"/>
    <w:basedOn w:val="a"/>
    <w:link w:val="a6"/>
    <w:uiPriority w:val="99"/>
    <w:unhideWhenUsed/>
    <w:rsid w:val="009E0F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0558&amp;dst=100004" TargetMode="External"/><Relationship Id="rId13" Type="http://schemas.openxmlformats.org/officeDocument/2006/relationships/hyperlink" Target="https://login.consultant.ru/link/?req=doc&amp;base=RLAW240&amp;n=220558&amp;dst=10000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240&amp;n=175290&amp;dst=100004" TargetMode="External"/><Relationship Id="rId12" Type="http://schemas.openxmlformats.org/officeDocument/2006/relationships/hyperlink" Target="https://login.consultant.ru/link/?req=doc&amp;base=RLAW240&amp;n=220558&amp;dst=10002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RLAW240&amp;n=220558&amp;dst=100014" TargetMode="External"/><Relationship Id="rId5" Type="http://schemas.openxmlformats.org/officeDocument/2006/relationships/endnotes" Target="endnotes.xml"/><Relationship Id="rId15" Type="http://schemas.openxmlformats.org/officeDocument/2006/relationships/hyperlink" Target="https://login.consultant.ru/link/?req=doc&amp;base=LAW&amp;n=495137&amp;dst=90" TargetMode="External"/><Relationship Id="rId10" Type="http://schemas.openxmlformats.org/officeDocument/2006/relationships/hyperlink" Target="https://login.consultant.ru/link/?req=doc&amp;base=RLAW240&amp;n=220558&amp;dst=100007" TargetMode="External"/><Relationship Id="rId4" Type="http://schemas.openxmlformats.org/officeDocument/2006/relationships/footnotes" Target="footnotes.xml"/><Relationship Id="rId9" Type="http://schemas.openxmlformats.org/officeDocument/2006/relationships/hyperlink" Target="https://login.consultant.ru/link/?req=doc&amp;base=RLAW240&amp;n=220558&amp;dst=100005" TargetMode="External"/><Relationship Id="rId14" Type="http://schemas.openxmlformats.org/officeDocument/2006/relationships/hyperlink" Target="https://login.consultant.ru/link/?req=doc&amp;base=LAW&amp;n=495137&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5980</Words>
  <Characters>34088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2025-08-13T09:07:00Z</dcterms:created>
  <dcterms:modified xsi:type="dcterms:W3CDTF">2025-08-13T09:10:00Z</dcterms:modified>
</cp:coreProperties>
</file>